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7513" w:type="dxa"/>
        <w:tblInd w:w="751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513"/>
      </w:tblGrid>
      <w:tr>
        <w:tblPrEx/>
        <w:trPr>
          <w:trHeight w:val="215"/>
        </w:trPr>
        <w:tc>
          <w:tcPr>
            <w:tcW w:w="7513" w:type="dxa"/>
            <w:vAlign w:val="bottom"/>
            <w:textDirection w:val="lrTb"/>
            <w:noWrap w:val="false"/>
          </w:tcPr>
          <w:p>
            <w:pPr>
              <w:pStyle w:val="799"/>
              <w:contextualSpacing/>
              <w:ind w:left="0" w:right="113" w:firstLine="2835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Приложение 3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215"/>
        </w:trPr>
        <w:tc>
          <w:tcPr>
            <w:tcW w:w="7513" w:type="dxa"/>
            <w:vAlign w:val="bottom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к решению Думы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215"/>
        </w:trPr>
        <w:tc>
          <w:tcPr>
            <w:tcW w:w="7513" w:type="dxa"/>
            <w:vAlign w:val="bottom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Уссурийского городского округа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215"/>
        </w:trPr>
        <w:tc>
          <w:tcPr>
            <w:tcW w:w="7513" w:type="dxa"/>
            <w:vAlign w:val="bottom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spacing w:before="0" w:after="0" w:line="240" w:lineRule="auto"/>
              <w:widowControl w:val="off"/>
            </w:pPr>
            <w:r>
              <w:t xml:space="preserve">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Приморского края</w:t>
            </w:r>
            <w:r/>
          </w:p>
        </w:tc>
      </w:tr>
      <w:tr>
        <w:tblPrEx/>
        <w:trPr>
          <w:trHeight w:val="215"/>
        </w:trPr>
        <w:tc>
          <w:tcPr>
            <w:tcW w:w="7513" w:type="dxa"/>
            <w:vAlign w:val="bottom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от  №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215" w:hRule="exact"/>
        </w:trPr>
        <w:tc>
          <w:tcPr>
            <w:tcW w:w="7513" w:type="dxa"/>
            <w:vAlign w:val="bottom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215"/>
        </w:trPr>
        <w:tc>
          <w:tcPr>
            <w:tcW w:w="7513" w:type="dxa"/>
            <w:vAlign w:val="bottom"/>
            <w:textDirection w:val="lrTb"/>
            <w:noWrap w:val="false"/>
          </w:tcPr>
          <w:p>
            <w:pPr>
              <w:pStyle w:val="799"/>
              <w:contextualSpacing/>
              <w:ind w:left="0" w:right="113" w:firstLine="2891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«Приложение 3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tcW w:w="7513" w:type="dxa"/>
            <w:vAlign w:val="bottom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к решению Думы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tcW w:w="7513" w:type="dxa"/>
            <w:vAlign w:val="bottom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Уссурийского городского округа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tcW w:w="7513" w:type="dxa"/>
            <w:vAlign w:val="bottom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spacing w:before="0" w:after="0" w:line="240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Приморского края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271"/>
        </w:trPr>
        <w:tc>
          <w:tcPr>
            <w:tcW w:w="7513" w:type="dxa"/>
            <w:vAlign w:val="bottom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от 16 декабря 2025 года № 337-НПА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</w:tbl>
    <w:p>
      <w:pPr>
        <w:pStyle w:val="799"/>
        <w:contextualSpacing/>
        <w:ind w:left="0" w:right="0" w:firstLine="0"/>
        <w:jc w:val="center"/>
        <w:spacing w:before="0"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99"/>
        <w:contextualSpacing/>
        <w:ind w:left="0" w:right="0" w:firstLine="0"/>
        <w:jc w:val="center"/>
        <w:spacing w:before="0"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Объемы доходов бюджета Уссурийского городского округа Приморского края на 2026 год и </w:t>
      </w:r>
      <w:r>
        <w:rPr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0"/>
        <w:jc w:val="center"/>
        <w:spacing w:before="0" w:after="0" w:line="240" w:lineRule="auto"/>
        <w:widowControl w:val="off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 и 2028 годов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99"/>
        <w:contextualSpacing/>
        <w:ind w:left="0" w:right="0" w:firstLine="0"/>
        <w:jc w:val="right"/>
        <w:spacing w:before="0"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рублей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5025" w:type="dxa"/>
        <w:tblInd w:w="-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2"/>
        <w:gridCol w:w="5953"/>
        <w:gridCol w:w="2126"/>
        <w:gridCol w:w="2126"/>
        <w:gridCol w:w="2128"/>
      </w:tblGrid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Код бюджетной классификации Российской Федерации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vAlign w:val="center"/>
            <w:vMerge w:val="restart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</w:t>
            </w:r>
            <w:r/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380" w:type="dxa"/>
            <w:vAlign w:val="center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Объемы доходов</w:t>
            </w:r>
            <w:r/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vAlign w:val="center"/>
            <w:vMerge w:val="continue"/>
            <w:textDirection w:val="lrTb"/>
            <w:noWrap w:val="false"/>
          </w:tcPr>
          <w:p>
            <w:pPr>
              <w:pStyle w:val="799"/>
              <w:contextualSpacing/>
              <w:spacing w:before="0" w:after="0" w:line="240" w:lineRule="auto"/>
            </w:pPr>
            <w:r/>
            <w:r/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vAlign w:val="center"/>
            <w:vMerge w:val="continue"/>
            <w:textDirection w:val="lrTb"/>
            <w:noWrap w:val="false"/>
          </w:tcPr>
          <w:p>
            <w:pPr>
              <w:pStyle w:val="799"/>
              <w:contextualSpacing/>
              <w:spacing w:before="0" w:after="0" w:line="240" w:lineRule="auto"/>
            </w:pPr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2026 год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2027 год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vAlign w:val="center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2028 год</w:t>
            </w:r>
            <w:r/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vAlign w:val="bottom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vAlign w:val="bottom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99"/>
              <w:contextualSpacing/>
              <w:ind w:left="0" w:right="0" w:firstLine="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1 00 00000 00 0000 000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НАЛОГОВЫЕ И НЕНАЛОГОВЫЕ ДОХОДЫ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5 408 448 492,00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4 801 087 810,00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4 832 474 510,00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НАЛОГОВЫЕ ДОХОДЫ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4 940 931 000,00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4 448 582 000,00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4 488 166 000,00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1 01 00000 00 0000 000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НАЛОГИ НА ПРИБЫЛЬ, ДОХОДЫ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4 343 640 000,00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3 819 812 000,00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3 846 960 000,00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1 01 02000 01 0000 110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4 343 640 000,00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3 819 812 000,00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3 846 960 000,00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1 03 02000 01 0000 110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АКЦИЗЫ ПО ПОДАКЦИЗНЫМ ТОВАРАМ (ПРОДУКЦИИ), ПРОИЗВОДИМЫМ НА ТЕРРИТОРИИ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70 650 000,00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95 470 000,00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99 584 000,00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1 03 03000 01 0000 110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ТУРИСТИЧЕСКИЙ НАЛОГ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14 190 000,00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21 285 000,00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28 380 000,00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1 05 00000 00 0000 000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НАЛОГИ НА СОВОКУПНЫЙ ДОХОД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33 611 000,00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35 719 000,00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36 488 000,00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1 05 03000 01 0000 110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Единый сельскохозяйственный налог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10 193 000,00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10 454 000,00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10 454 000,00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1 05 04010 02 0000 110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Налог, взимаемый в связи с применением патентной системы налогообложения, зачисляемый в бюджеты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23 418 000,00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25 265 000,00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26 034 000,00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1 06 00000 00 0000 000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НАЛОГИ НА ИМУЩЕСТВО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380 340 000,00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377 796 000,00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378 254 000,00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1 06 01020 04 0000 110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190 184 000,00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190 640 000,00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191 098 000,00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1 06 06000 00 0000 110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Земельный налог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190 156 000,00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187 156 000,00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187 156 000,00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1 08 00000 00 0000 000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ГОСУДАРСТВЕННАЯ ПОШЛИНА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98 500 000,00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98 500 000,00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98 500 000,00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1 08 03010 01 0000 110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97 800 000,00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97 800 000,00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97 800 000,00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1 08 07150 01 0000 110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Государственная пошлина за выдачу разрешения на установку рекламной конструкции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НЕНАЛОГОВЫЕ ДОХОДЫ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467 517 492,00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352 505 810,00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344 308 510,00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1 11 00000 00 0000 000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246 088 020,00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210 881 250,00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204 327 070,00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1 11 01040 04 0000 120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1 000 000,00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1 100 000,00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1 250 000,00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1 11 05000 00 0000 120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Доходы, получаемые в виде арендн</w:t>
            </w:r>
            <w:r>
              <w:rPr>
                <w:rFonts w:ascii="Times New Roman" w:hAnsi="Times New Roman"/>
                <w:sz w:val="24"/>
              </w:rPr>
              <w:t xml:space="preserve">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200 115 900,00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164 605 800,00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157 719 800,00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1 11 05012 04 0000 120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Доходы, п</w:t>
            </w:r>
            <w:r>
              <w:rPr>
                <w:rFonts w:ascii="Times New Roman" w:hAnsi="Times New Roman"/>
                <w:sz w:val="24"/>
              </w:rPr>
              <w:t xml:space="preserve">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175 280 000,00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139 850 000,00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132 900 000,00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1 11 05024 04 0000 120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учреждении)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854 400,00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852 700,00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852 700,00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1 11 05034 04 0000 120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2 072 000,00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2 134 000,00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2 198 000,00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1 11 05074 04 0000 120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сдачи в аренду имущества, составляющего казну городских округов (за исключением земельных участков)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21 909 500,00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21 769 100,00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21 769 100,00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1 11 07014 04 0000 120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422 600,00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439 500,00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457 100,00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1 11 09044 04 0000 120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30 000 000,00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30 000 000,00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30 000 000,00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1 11 09080 04 0000 120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Плата, поступившая в рамках договора за предоставление права на размещение и эксплуатацию</w:t>
            </w:r>
            <w:r>
              <w:rPr>
                <w:rFonts w:ascii="Times New Roman" w:hAnsi="Times New Roman"/>
                <w:sz w:val="24"/>
              </w:rPr>
              <w:t xml:space="preserve">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14 549 520,00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14 735 950,00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14 900 170,00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1 12 00000 00 0000 000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ПЛАТЕЖИ ПРИ ПОЛЬЗОВАНИИ ПРИРОДНЫМИ РЕСУРСАМИ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9 000 000,00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1 12 01000 01 0000 120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за негативное воздействие на окружающую среду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9 000 000,00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1 13 00000 00 0000 000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ОКАЗАНИЯ ПЛАТНЫХ УСЛУГ И КОМПЕНСАЦИИ ЗАТРАТ ГОСУДАРСТВА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29 796 080,00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21 740 670,00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20 238 350,00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1 13 01074 04 0000 130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320 000,00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1 13 01530 04 0000 130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  <w:r>
              <w:rPr>
                <w:rFonts w:ascii="Times New Roman" w:hAnsi="Times New Roman"/>
                <w:color w:val="000000"/>
                <w:sz w:val="24"/>
              </w:rPr>
            </w:r>
            <w:r>
              <w:rPr>
                <w:rFonts w:ascii="Times New Roman" w:hAnsi="Times New Roman"/>
                <w:color w:val="000000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1 13 01994 04 0000 130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доходы от оказания платных услуг (работ) получателями средств бюджетов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1 280 000,00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1 280 000,00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1 280 000,00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1 13 02064 04 0000 130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658 680,00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690 460,00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696 690,00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1 13 02994 04 0000 130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доходы от компенсации затрат бюджетов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25 177 400,00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19 590 210,00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17 941 660,00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1 14 00000 00 0000 000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ПРОДАЖИ МАТЕРИАЛЬНЫХ И НЕМАТЕРИАЛЬНЫХ АКТИВОВ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173 304 300,00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113 163 000,00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113 022 200,00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1 14 02040 04 0000 410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реализации имущества, находящегося</w:t>
            </w:r>
            <w:r>
              <w:rPr>
                <w:rFonts w:ascii="Times New Roman" w:hAnsi="Times New Roman"/>
                <w:sz w:val="24"/>
              </w:rPr>
              <w:t xml:space="preserve">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2 922 300,00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2 781 000,00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2 640 200,00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1 14 06012 04 0000 430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144 082 000,00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84 082 000,00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84 082 000,00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1 14 06312 04 0000 430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за увеличение площади</w:t>
            </w:r>
            <w:r>
              <w:rPr>
                <w:rFonts w:ascii="Times New Roman" w:hAnsi="Times New Roman"/>
                <w:sz w:val="24"/>
              </w:rPr>
              <w:t xml:space="preserve">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26 300 000,00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26 300 000,00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26 300 000,00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1 15 00000 00 0000 000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ПЛАТЕЖИ И СБОРЫ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1 650 000,00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1 650 000,00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1 650 000,00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1 16 00000 00 0000 000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ШТРАФЫ, САНКЦИИ, ВОЗМЕЩЕНИЕ УЩЕРБА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7 598 202,00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5 060 000,00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5 060 000,00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1 17 00000 00 0000 000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НЕНАЛОГОВЫЕ ДОХОДЫ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80 890,00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1 17 05040 04 0000 180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неналоговые доходы бюджетов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1 17 15020 04 0000 150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Инициативные платежи, зачисляемые в бюджеты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2 00 00000 00 0000 000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БЕЗВОЗМЕЗДНЫЕ ПОСТУПЛЕНИЯ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6 933 119 373,30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8 180 024 231,38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8 458 664 617,58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2 02 00000 00 0000 000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БЕЗВОЗМЕЗДНЫЕ ПОСТУПЛЕНИЯ ОТ ДРУГИХ БЮДЖЕТОВ БЮДЖЕТНОЙ СИСТЕМЫ РОССИЙСКОЙ ФЕДЕРАЦИИ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6 907 449 373,30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8 180 024 231,38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8 458 664 617,58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2 02 10000 00 0000 150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Дотации бюджетам бюджетной системы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38 040 000,00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2 02 19999 04 0000 150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дотации бюджетам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38 040 000,00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2 02 20000 00 0000 150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vAlign w:val="bottom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бюджетной системы Российской Федерации (межбюджетные субсидии)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2 652 182 992,49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3 741 733 877,74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3 774 746 005,74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2 02 20077 04 0000 150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vAlign w:val="bottom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1 315 070 313,01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2 542 157 824,70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2 139 302 040,00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2 02 20299 04 0000 150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vAlign w:val="bottom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обеспечение мероприятий по переселению </w:t>
            </w:r>
            <w:r>
              <w:rPr>
                <w:rFonts w:ascii="Times New Roman" w:hAnsi="Times New Roman"/>
                <w:sz w:val="24"/>
              </w:rPr>
              <w:t xml:space="preserve">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37 872 601,32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2 02 20302 04 0000 150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vAlign w:val="bottom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</w:t>
            </w:r>
            <w:r>
              <w:rPr>
                <w:rFonts w:ascii="Times New Roman" w:hAnsi="Times New Roman"/>
                <w:sz w:val="24"/>
              </w:rPr>
              <w:t xml:space="preserve">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29 820 408,61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2 02 25049 04 0000 150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адресное строительство школ в отдельных населенных пунктах с объективно выявленной потребностью инфраструктуры (зданий) школ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211 948 453,61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235 498 351,00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2 02 25054 04 0000 150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260 870 103,10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518 845 360,82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2 02 25081 04 0000 150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vAlign w:val="bottom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государственную поддержку организаций, входящих в систему спортивной подготовки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1 484 938,27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2 02 25133 04 0000 150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в целях софинансирования расходных обязательств, возникающих при осуществлении капитального ремонта объектов спортивной инфраструктуры муниципальной собственности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30 248 395,06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2 02 25349 04 0000 150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3 917 525,77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2 02 25424 04 0000 150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154 639 175,26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2 02 25441 04 0000 150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реализацию мероприятий комплексных планов по снижению выбросов загрязняющих веществ в атмосферный воздух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228 420 000,00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1 418 126 562,50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2 02 25467 04 0000 150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1 282 459,26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1 168 354,43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1 176 051,95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2 02 25497 04 0000 150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реализацию мероприятий по обеспечению жильем молодых семей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30 052 060,80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13 648 232,59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13 529 140,16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2 02 25513 04 0000 150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развитие сети учреждений культурно-досугового типа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24 845 360,83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2 02 25505 04 0000 150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26 858 938,75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tabs>
                <w:tab w:val="left" w:pos="131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2 02 25519 04 0000 150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Субсидия бюджетам городских округов на поддержку отрасли культуры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246 913,58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2 02 25555 04 0000 150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реализацию программ формирования современной городской среды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62 544 656,43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63 831 408,73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64 447 388,71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2 02 25599 04 0000 150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подготовку проектов межевания земельных участков и на проведение кадастровых работ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323 150,71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2 02 29999 04 0000 150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субсидии бюджетам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460 157 538,12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138 164 345,47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138 164 822,42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2 02 30000 00 0000 150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бюджетной системы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4 042 337 745,37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4 288 192 186,44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4 533 636 500,96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2 02 30024 04 0000 150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3 734 748 756,37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3 993 713 953,94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4 242 916 396,46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2 02 30029 04 0000 150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49 595 166,00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74 643 004,00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77 617 211,00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2 02 35082 04 0000 150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31 260 864,00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2 02 35120 04 0000 150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2 833 571,00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212 736,00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230 487,00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2 02 35304 04 0000 150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195 153 336,00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189 948 811,50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182 225 830,50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2 02 35930 04 0000 150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государственную регистрацию актов гражданского состояния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18 028 927,00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18 527 870,00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19 054 932,00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2 02 36900 04 0000 150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Единая субвенция бюджетам городских округов из бюджета субъекта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8 020 108,00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8 340 913,00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8 674 550,00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2 02 39999 04 0000 150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субвенции бюджетам городских округов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2 697 017,00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2 804 898,00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2 917 094,00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2 02 40000 00 0000 150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Иные межбюджетные трансферты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174 888 635,44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150 098 167,20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150 282 110,88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04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2 02 45050 04 0000 150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</w:t>
            </w:r>
            <w:r>
              <w:rPr>
                <w:rFonts w:ascii="Times New Roman" w:hAnsi="Times New Roman"/>
                <w:sz w:val="24"/>
              </w:rPr>
              <w:t xml:space="preserve">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3 866 940,00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3 866 940,00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3 866 940,00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585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2 02 45179 04 0000 150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12 492 706,56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14 840 227,20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15 024 170,88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2 02 45303 04 0000 150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/>
                <w:sz w:val="24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125 775 000,00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131 391 000,00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131 391 000,00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2 02 49999 04 0000 150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межбюджетные трансферты, передаваемые бюджетам городских округов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32 753 988,88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11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2 07 0000 0 00 0000 000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БЕЗВОЗМЕЗДНЫЕ ПОСТУПЛЕНИЯ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25 670 000,00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Calibri" w:cs="Arial"/>
                <w:color w:val="auto"/>
                <w:sz w:val="24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Calibri" w:cs="Arial"/>
                <w:color w:val="auto"/>
                <w:sz w:val="24"/>
                <w:szCs w:val="22"/>
                <w:lang w:val="ru-RU" w:eastAsia="en-US" w:bidi="ar-SA"/>
              </w:rPr>
              <w:t xml:space="preserve">2 070 04050 04 0000 150</w:t>
            </w:r>
            <w:r>
              <w:rPr>
                <w:rFonts w:ascii="Times New Roman" w:hAnsi="Times New Roman" w:eastAsia="Calibri" w:cs="Arial"/>
                <w:color w:val="auto"/>
                <w:sz w:val="24"/>
                <w:szCs w:val="22"/>
                <w:lang w:val="ru-RU" w:eastAsia="en-US" w:bidi="ar-SA"/>
              </w:rPr>
            </w:r>
            <w:r>
              <w:rPr>
                <w:rFonts w:ascii="Times New Roman" w:hAnsi="Times New Roman" w:eastAsia="Calibri" w:cs="Arial"/>
                <w:color w:val="auto"/>
                <w:sz w:val="24"/>
                <w:szCs w:val="22"/>
                <w:lang w:val="ru-RU" w:eastAsia="en-US" w:bidi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5" w:type="dxa"/>
              <w:bottom w:w="55" w:type="dxa"/>
            </w:tcMar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Calibri" w:cs="Arial"/>
                <w:color w:val="auto"/>
                <w:sz w:val="24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Calibri" w:cs="Arial"/>
                <w:color w:val="auto"/>
                <w:sz w:val="24"/>
                <w:szCs w:val="22"/>
                <w:lang w:val="ru-RU" w:eastAsia="en-US" w:bidi="ar-SA"/>
              </w:rPr>
              <w:t xml:space="preserve">Прочие безвозмездные поступления в бюджеты городских округов </w:t>
            </w:r>
            <w:r>
              <w:rPr>
                <w:rFonts w:ascii="Times New Roman" w:hAnsi="Times New Roman" w:eastAsia="Calibri" w:cs="Arial"/>
                <w:color w:val="auto"/>
                <w:sz w:val="24"/>
                <w:szCs w:val="22"/>
                <w:lang w:val="ru-RU" w:eastAsia="en-US" w:bidi="ar-SA"/>
              </w:rPr>
            </w:r>
            <w:r>
              <w:rPr>
                <w:rFonts w:ascii="Times New Roman" w:hAnsi="Times New Roman" w:eastAsia="Calibri" w:cs="Arial"/>
                <w:color w:val="auto"/>
                <w:sz w:val="24"/>
                <w:szCs w:val="22"/>
                <w:lang w:val="ru-RU" w:eastAsia="en-US" w:bidi="ar-SA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25 670 000,00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 ДОХОДОВ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12 341 567 865,30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71"/>
              <w:contextualSpacing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12 981 112 041,38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871"/>
              <w:contextualSpacing/>
              <w:jc w:val="center"/>
              <w:spacing w:before="0"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13 291 139 127,58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</w:tbl>
    <w:p>
      <w:pPr>
        <w:pStyle w:val="799"/>
        <w:contextualSpacing/>
        <w:ind w:left="0" w:right="0" w:firstLine="0"/>
        <w:spacing w:before="0"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bookmarkStart w:id="1" w:name="_GoBack"/>
      <w:r/>
      <w:bookmarkEnd w:id="1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headerReference w:type="default" r:id="rId8"/>
      <w:footnotePr/>
      <w:endnotePr/>
      <w:type w:val="nextPage"/>
      <w:pgSz w:w="16838" w:h="11906" w:orient="landscape"/>
      <w:pgMar w:top="765" w:right="1134" w:bottom="709" w:left="1134" w:header="708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Noto Sans">
    <w:panose1 w:val="020B0502040504020204"/>
  </w:font>
  <w:font w:name="Tahoma">
    <w:panose1 w:val="020B0604030504040204"/>
  </w:font>
  <w:font w:name="Liberation San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6"/>
      <w:jc w:val="center"/>
    </w:pPr>
    <w:fldSimple w:instr="PAGE \* MERGEFORMAT">
      <w:r>
        <w:t xml:space="preserve">1</w:t>
      </w:r>
    </w:fldSimple>
    <w:r/>
    <w:r/>
  </w:p>
  <w:p>
    <w:pPr>
      <w:pStyle w:val="866"/>
    </w:pP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Arial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7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7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7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1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1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1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1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1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1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2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2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2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5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5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7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7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7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7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7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7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7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9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Calibri" w:cs="Arial"/>
      <w:color w:val="auto"/>
      <w:sz w:val="22"/>
      <w:szCs w:val="22"/>
      <w:lang w:val="ru-RU" w:eastAsia="en-US" w:bidi="ar-SA"/>
    </w:rPr>
  </w:style>
  <w:style w:type="paragraph" w:styleId="800">
    <w:name w:val="Heading 1"/>
    <w:basedOn w:val="799"/>
    <w:qFormat/>
    <w:pPr>
      <w:numPr>
        <w:ilvl w:val="0"/>
        <w:numId w:val="0"/>
      </w:num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01">
    <w:name w:val="Heading 2"/>
    <w:basedOn w:val="799"/>
    <w:qFormat/>
    <w:pPr>
      <w:numPr>
        <w:ilvl w:val="0"/>
        <w:numId w:val="0"/>
      </w:num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02">
    <w:name w:val="Heading 3"/>
    <w:basedOn w:val="799"/>
    <w:qFormat/>
    <w:pPr>
      <w:numPr>
        <w:ilvl w:val="0"/>
        <w:numId w:val="0"/>
      </w:num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03">
    <w:name w:val="Heading 4"/>
    <w:basedOn w:val="799"/>
    <w:qFormat/>
    <w:pPr>
      <w:numPr>
        <w:ilvl w:val="0"/>
        <w:numId w:val="0"/>
      </w:num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04">
    <w:name w:val="Heading 5"/>
    <w:basedOn w:val="799"/>
    <w:qFormat/>
    <w:pPr>
      <w:numPr>
        <w:ilvl w:val="0"/>
        <w:numId w:val="0"/>
      </w:num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05">
    <w:name w:val="Heading 6"/>
    <w:basedOn w:val="799"/>
    <w:qFormat/>
    <w:pPr>
      <w:numPr>
        <w:ilvl w:val="0"/>
        <w:numId w:val="0"/>
      </w:num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06">
    <w:name w:val="Heading 7"/>
    <w:basedOn w:val="799"/>
    <w:qFormat/>
    <w:pPr>
      <w:numPr>
        <w:ilvl w:val="0"/>
        <w:numId w:val="0"/>
      </w:num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07">
    <w:name w:val="Heading 8"/>
    <w:basedOn w:val="799"/>
    <w:qFormat/>
    <w:pPr>
      <w:numPr>
        <w:ilvl w:val="0"/>
        <w:numId w:val="0"/>
      </w:num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08">
    <w:name w:val="Heading 9"/>
    <w:basedOn w:val="799"/>
    <w:qFormat/>
    <w:pPr>
      <w:numPr>
        <w:ilvl w:val="0"/>
        <w:numId w:val="0"/>
      </w:num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9">
    <w:name w:val="Heading 1 Char"/>
    <w:basedOn w:val="832"/>
    <w:qFormat/>
    <w:rPr>
      <w:rFonts w:ascii="Arial" w:hAnsi="Arial" w:eastAsia="Arial" w:cs="Arial"/>
      <w:sz w:val="40"/>
      <w:szCs w:val="40"/>
    </w:rPr>
  </w:style>
  <w:style w:type="character" w:styleId="810">
    <w:name w:val="Heading 2 Char"/>
    <w:basedOn w:val="832"/>
    <w:qFormat/>
    <w:rPr>
      <w:rFonts w:ascii="Arial" w:hAnsi="Arial" w:eastAsia="Arial" w:cs="Arial"/>
      <w:sz w:val="34"/>
    </w:rPr>
  </w:style>
  <w:style w:type="character" w:styleId="811">
    <w:name w:val="Heading 3 Char"/>
    <w:basedOn w:val="832"/>
    <w:qFormat/>
    <w:rPr>
      <w:rFonts w:ascii="Arial" w:hAnsi="Arial" w:eastAsia="Arial" w:cs="Arial"/>
      <w:sz w:val="30"/>
      <w:szCs w:val="30"/>
    </w:rPr>
  </w:style>
  <w:style w:type="character" w:styleId="812">
    <w:name w:val="Heading 4 Char"/>
    <w:basedOn w:val="832"/>
    <w:qFormat/>
    <w:rPr>
      <w:rFonts w:ascii="Arial" w:hAnsi="Arial" w:eastAsia="Arial" w:cs="Arial"/>
      <w:b/>
      <w:bCs/>
      <w:sz w:val="26"/>
      <w:szCs w:val="26"/>
    </w:rPr>
  </w:style>
  <w:style w:type="character" w:styleId="813">
    <w:name w:val="Heading 5 Char"/>
    <w:basedOn w:val="832"/>
    <w:qFormat/>
    <w:rPr>
      <w:rFonts w:ascii="Arial" w:hAnsi="Arial" w:eastAsia="Arial" w:cs="Arial"/>
      <w:b/>
      <w:bCs/>
      <w:sz w:val="24"/>
      <w:szCs w:val="24"/>
    </w:rPr>
  </w:style>
  <w:style w:type="character" w:styleId="814">
    <w:name w:val="Heading 6 Char"/>
    <w:basedOn w:val="832"/>
    <w:qFormat/>
    <w:rPr>
      <w:rFonts w:ascii="Arial" w:hAnsi="Arial" w:eastAsia="Arial" w:cs="Arial"/>
      <w:b/>
      <w:bCs/>
      <w:sz w:val="22"/>
      <w:szCs w:val="22"/>
    </w:rPr>
  </w:style>
  <w:style w:type="character" w:styleId="815">
    <w:name w:val="Heading 7 Char"/>
    <w:basedOn w:val="832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6">
    <w:name w:val="Heading 8 Char"/>
    <w:basedOn w:val="832"/>
    <w:qFormat/>
    <w:rPr>
      <w:rFonts w:ascii="Arial" w:hAnsi="Arial" w:eastAsia="Arial" w:cs="Arial"/>
      <w:i/>
      <w:iCs/>
      <w:sz w:val="22"/>
      <w:szCs w:val="22"/>
    </w:rPr>
  </w:style>
  <w:style w:type="character" w:styleId="817">
    <w:name w:val="Heading 9 Char"/>
    <w:basedOn w:val="832"/>
    <w:qFormat/>
    <w:rPr>
      <w:rFonts w:ascii="Arial" w:hAnsi="Arial" w:eastAsia="Arial" w:cs="Arial"/>
      <w:i/>
      <w:iCs/>
      <w:sz w:val="21"/>
      <w:szCs w:val="21"/>
    </w:rPr>
  </w:style>
  <w:style w:type="character" w:styleId="818">
    <w:name w:val="Title Char"/>
    <w:basedOn w:val="832"/>
    <w:qFormat/>
    <w:rPr>
      <w:sz w:val="48"/>
      <w:szCs w:val="48"/>
    </w:rPr>
  </w:style>
  <w:style w:type="character" w:styleId="819">
    <w:name w:val="Subtitle Char"/>
    <w:basedOn w:val="832"/>
    <w:qFormat/>
    <w:rPr>
      <w:sz w:val="24"/>
      <w:szCs w:val="24"/>
    </w:rPr>
  </w:style>
  <w:style w:type="character" w:styleId="820">
    <w:name w:val="Quote Char"/>
    <w:qFormat/>
    <w:rPr>
      <w:i/>
    </w:rPr>
  </w:style>
  <w:style w:type="character" w:styleId="821">
    <w:name w:val="Intense Quote Char"/>
    <w:qFormat/>
    <w:rPr>
      <w:i/>
    </w:rPr>
  </w:style>
  <w:style w:type="character" w:styleId="822">
    <w:name w:val="Header Char"/>
    <w:basedOn w:val="832"/>
    <w:qFormat/>
  </w:style>
  <w:style w:type="character" w:styleId="823">
    <w:name w:val="Footer Char"/>
    <w:basedOn w:val="832"/>
    <w:qFormat/>
  </w:style>
  <w:style w:type="character" w:styleId="824">
    <w:name w:val="Caption Char"/>
    <w:qFormat/>
  </w:style>
  <w:style w:type="character" w:styleId="825">
    <w:name w:val="Hyperlink"/>
    <w:rPr>
      <w:color w:val="0000ff" w:themeColor="hyperlink"/>
      <w:u w:val="single"/>
    </w:rPr>
  </w:style>
  <w:style w:type="character" w:styleId="826">
    <w:name w:val="Footnote Text Char"/>
    <w:qFormat/>
    <w:rPr>
      <w:sz w:val="18"/>
    </w:rPr>
  </w:style>
  <w:style w:type="character" w:styleId="827">
    <w:name w:val="Символ сноски"/>
    <w:qFormat/>
    <w:rPr>
      <w:vertAlign w:val="superscript"/>
    </w:rPr>
  </w:style>
  <w:style w:type="character" w:styleId="828">
    <w:name w:val="footnote reference"/>
    <w:rPr>
      <w:vertAlign w:val="superscript"/>
    </w:rPr>
  </w:style>
  <w:style w:type="character" w:styleId="829">
    <w:name w:val="Endnote Text Char"/>
    <w:qFormat/>
    <w:rPr>
      <w:sz w:val="20"/>
    </w:rPr>
  </w:style>
  <w:style w:type="character" w:styleId="830">
    <w:name w:val="Символ концевой сноски"/>
    <w:qFormat/>
    <w:rPr>
      <w:vertAlign w:val="superscript"/>
    </w:rPr>
  </w:style>
  <w:style w:type="character" w:styleId="831">
    <w:name w:val="endnote reference"/>
    <w:rPr>
      <w:vertAlign w:val="superscript"/>
    </w:rPr>
  </w:style>
  <w:style w:type="character" w:styleId="832" w:default="1">
    <w:name w:val="Default Paragraph Font"/>
    <w:qFormat/>
  </w:style>
  <w:style w:type="character" w:styleId="833">
    <w:name w:val="Верхний колонтитул Знак"/>
    <w:basedOn w:val="832"/>
    <w:qFormat/>
  </w:style>
  <w:style w:type="character" w:styleId="834">
    <w:name w:val="Нижний колонтитул Знак"/>
    <w:basedOn w:val="832"/>
    <w:qFormat/>
  </w:style>
  <w:style w:type="character" w:styleId="835">
    <w:name w:val="Текст выноски Знак"/>
    <w:basedOn w:val="832"/>
    <w:qFormat/>
    <w:rPr>
      <w:rFonts w:ascii="Tahoma" w:hAnsi="Tahoma" w:cs="Tahoma"/>
      <w:sz w:val="16"/>
      <w:szCs w:val="16"/>
    </w:rPr>
  </w:style>
  <w:style w:type="character" w:styleId="836">
    <w:name w:val="Internet Link"/>
    <w:basedOn w:val="832"/>
    <w:qFormat/>
    <w:rPr>
      <w:color w:val="0000ff"/>
      <w:u w:val="single"/>
    </w:rPr>
  </w:style>
  <w:style w:type="paragraph" w:styleId="837">
    <w:name w:val="Заголовок"/>
    <w:basedOn w:val="799"/>
    <w:next w:val="838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838">
    <w:name w:val="Body Text"/>
    <w:basedOn w:val="799"/>
    <w:pPr>
      <w:spacing w:before="0" w:after="140" w:line="276" w:lineRule="auto"/>
    </w:pPr>
  </w:style>
  <w:style w:type="paragraph" w:styleId="839">
    <w:name w:val="List"/>
    <w:basedOn w:val="838"/>
    <w:rPr>
      <w:rFonts w:cs="Noto Sans"/>
    </w:rPr>
  </w:style>
  <w:style w:type="paragraph" w:styleId="840">
    <w:name w:val="Caption"/>
    <w:basedOn w:val="799"/>
    <w:link w:val="824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841">
    <w:name w:val="Указатель"/>
    <w:basedOn w:val="799"/>
    <w:qFormat/>
    <w:pPr>
      <w:suppressLineNumbers/>
    </w:pPr>
    <w:rPr>
      <w:rFonts w:cs="Noto Sans"/>
    </w:rPr>
  </w:style>
  <w:style w:type="paragraph" w:styleId="842">
    <w:name w:val="Заголовок (user)"/>
    <w:basedOn w:val="799"/>
    <w:next w:val="838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843">
    <w:name w:val="Указатель (user)"/>
    <w:basedOn w:val="799"/>
    <w:qFormat/>
    <w:pPr>
      <w:suppressLineNumbers/>
    </w:pPr>
    <w:rPr>
      <w:rFonts w:cs="Noto Sans"/>
    </w:rPr>
  </w:style>
  <w:style w:type="paragraph" w:styleId="844">
    <w:name w:val="List Paragraph"/>
    <w:basedOn w:val="799"/>
    <w:qFormat/>
    <w:pPr>
      <w:contextualSpacing/>
      <w:ind w:left="720"/>
      <w:spacing w:before="0" w:after="0"/>
    </w:pPr>
  </w:style>
  <w:style w:type="paragraph" w:styleId="845">
    <w:name w:val="No Spacing"/>
    <w:qFormat/>
    <w:pPr>
      <w:jc w:val="left"/>
      <w:spacing w:before="0" w:after="0" w:line="240" w:lineRule="auto"/>
      <w:widowControl/>
    </w:pPr>
    <w:rPr>
      <w:rFonts w:ascii="Calibri" w:hAnsi="Calibri" w:eastAsia="Calibri" w:cs="Arial"/>
      <w:color w:val="auto"/>
      <w:sz w:val="22"/>
      <w:szCs w:val="22"/>
      <w:lang w:val="ru-RU" w:eastAsia="en-US" w:bidi="ar-SA"/>
    </w:rPr>
  </w:style>
  <w:style w:type="paragraph" w:styleId="846">
    <w:name w:val="Title"/>
    <w:basedOn w:val="799"/>
    <w:qFormat/>
    <w:pPr>
      <w:contextualSpacing/>
      <w:spacing w:before="300" w:after="200"/>
    </w:pPr>
    <w:rPr>
      <w:sz w:val="48"/>
      <w:szCs w:val="48"/>
    </w:rPr>
  </w:style>
  <w:style w:type="paragraph" w:styleId="847">
    <w:name w:val="Subtitle"/>
    <w:basedOn w:val="799"/>
    <w:qFormat/>
    <w:pPr>
      <w:spacing w:before="200" w:after="200"/>
    </w:pPr>
    <w:rPr>
      <w:sz w:val="24"/>
      <w:szCs w:val="24"/>
    </w:rPr>
  </w:style>
  <w:style w:type="paragraph" w:styleId="848">
    <w:name w:val="Quote"/>
    <w:basedOn w:val="799"/>
    <w:qFormat/>
    <w:pPr>
      <w:ind w:left="720" w:right="720"/>
    </w:pPr>
    <w:rPr>
      <w:i/>
    </w:rPr>
  </w:style>
  <w:style w:type="paragraph" w:styleId="849">
    <w:name w:val="Intense Quote"/>
    <w:basedOn w:val="799"/>
    <w:qFormat/>
    <w:pPr>
      <w:ind w:left="720" w:right="72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50">
    <w:name w:val="footnote text"/>
    <w:basedOn w:val="799"/>
    <w:pPr>
      <w:spacing w:before="0" w:after="40" w:line="240" w:lineRule="auto"/>
    </w:pPr>
    <w:rPr>
      <w:sz w:val="18"/>
    </w:rPr>
  </w:style>
  <w:style w:type="paragraph" w:styleId="851">
    <w:name w:val="endnote text"/>
    <w:basedOn w:val="799"/>
    <w:pPr>
      <w:spacing w:before="0" w:after="0" w:line="240" w:lineRule="auto"/>
    </w:pPr>
    <w:rPr>
      <w:sz w:val="20"/>
    </w:rPr>
  </w:style>
  <w:style w:type="paragraph" w:styleId="852">
    <w:name w:val="toc 1"/>
    <w:basedOn w:val="799"/>
    <w:pPr>
      <w:ind w:left="0" w:right="0" w:firstLine="0"/>
      <w:spacing w:before="0" w:after="57"/>
    </w:pPr>
  </w:style>
  <w:style w:type="paragraph" w:styleId="853">
    <w:name w:val="toc 2"/>
    <w:basedOn w:val="799"/>
    <w:pPr>
      <w:ind w:left="283" w:right="0" w:firstLine="0"/>
      <w:spacing w:before="0" w:after="57"/>
    </w:pPr>
  </w:style>
  <w:style w:type="paragraph" w:styleId="854">
    <w:name w:val="toc 3"/>
    <w:basedOn w:val="799"/>
    <w:pPr>
      <w:ind w:left="567" w:right="0" w:firstLine="0"/>
      <w:spacing w:before="0" w:after="57"/>
    </w:pPr>
  </w:style>
  <w:style w:type="paragraph" w:styleId="855">
    <w:name w:val="toc 4"/>
    <w:basedOn w:val="799"/>
    <w:pPr>
      <w:ind w:left="850" w:right="0" w:firstLine="0"/>
      <w:spacing w:before="0" w:after="57"/>
    </w:pPr>
  </w:style>
  <w:style w:type="paragraph" w:styleId="856">
    <w:name w:val="toc 5"/>
    <w:basedOn w:val="799"/>
    <w:pPr>
      <w:ind w:left="1134" w:right="0" w:firstLine="0"/>
      <w:spacing w:before="0" w:after="57"/>
    </w:pPr>
  </w:style>
  <w:style w:type="paragraph" w:styleId="857">
    <w:name w:val="toc 6"/>
    <w:basedOn w:val="799"/>
    <w:pPr>
      <w:ind w:left="1417" w:right="0" w:firstLine="0"/>
      <w:spacing w:before="0" w:after="57"/>
    </w:pPr>
  </w:style>
  <w:style w:type="paragraph" w:styleId="858">
    <w:name w:val="toc 7"/>
    <w:basedOn w:val="799"/>
    <w:pPr>
      <w:ind w:left="1701" w:right="0" w:firstLine="0"/>
      <w:spacing w:before="0" w:after="57"/>
    </w:pPr>
  </w:style>
  <w:style w:type="paragraph" w:styleId="859">
    <w:name w:val="toc 8"/>
    <w:basedOn w:val="799"/>
    <w:pPr>
      <w:ind w:left="1984" w:right="0" w:firstLine="0"/>
      <w:spacing w:before="0" w:after="57"/>
    </w:pPr>
  </w:style>
  <w:style w:type="paragraph" w:styleId="860">
    <w:name w:val="toc 9"/>
    <w:basedOn w:val="799"/>
    <w:pPr>
      <w:ind w:left="2268" w:right="0" w:firstLine="0"/>
      <w:spacing w:before="0" w:after="57"/>
    </w:pPr>
  </w:style>
  <w:style w:type="paragraph" w:styleId="861">
    <w:name w:val="index heading"/>
    <w:basedOn w:val="837"/>
  </w:style>
  <w:style w:type="paragraph" w:styleId="862">
    <w:name w:val="TOC Heading"/>
    <w:qFormat/>
    <w:pPr>
      <w:jc w:val="left"/>
      <w:spacing w:before="0" w:after="0"/>
      <w:widowControl/>
    </w:pPr>
    <w:rPr>
      <w:rFonts w:ascii="Calibri" w:hAnsi="Calibri" w:eastAsia="Calibri" w:cs="Arial"/>
      <w:color w:val="auto"/>
      <w:sz w:val="22"/>
      <w:szCs w:val="22"/>
      <w:lang w:val="ru-RU" w:eastAsia="en-US" w:bidi="ar-SA"/>
    </w:rPr>
  </w:style>
  <w:style w:type="paragraph" w:styleId="863">
    <w:name w:val="table of figures"/>
    <w:basedOn w:val="799"/>
    <w:pPr>
      <w:spacing w:before="0" w:after="0"/>
    </w:pPr>
  </w:style>
  <w:style w:type="paragraph" w:styleId="864">
    <w:name w:val="Колонтитул"/>
    <w:basedOn w:val="799"/>
    <w:qFormat/>
  </w:style>
  <w:style w:type="paragraph" w:styleId="865">
    <w:name w:val="Header and Footer"/>
    <w:basedOn w:val="799"/>
    <w:qFormat/>
  </w:style>
  <w:style w:type="paragraph" w:styleId="866">
    <w:name w:val="Header"/>
    <w:basedOn w:val="799"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67">
    <w:name w:val="Footer"/>
    <w:basedOn w:val="799"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68">
    <w:name w:val="Balloon Text"/>
    <w:basedOn w:val="799"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869">
    <w:name w:val="Содержимое таблицы (user)"/>
    <w:basedOn w:val="799"/>
    <w:qFormat/>
    <w:pPr>
      <w:widowControl w:val="off"/>
      <w:suppressLineNumbers/>
    </w:pPr>
  </w:style>
  <w:style w:type="paragraph" w:styleId="870">
    <w:name w:val="Заголовок таблицы (user)"/>
    <w:basedOn w:val="869"/>
    <w:qFormat/>
    <w:pPr>
      <w:jc w:val="center"/>
      <w:suppressLineNumbers/>
    </w:pPr>
    <w:rPr>
      <w:b/>
      <w:bCs/>
    </w:rPr>
  </w:style>
  <w:style w:type="paragraph" w:styleId="871">
    <w:name w:val="Содержимое таблицы"/>
    <w:basedOn w:val="799"/>
    <w:qFormat/>
    <w:pPr>
      <w:widowControl w:val="off"/>
      <w:suppressLineNumbers/>
    </w:pPr>
  </w:style>
  <w:style w:type="paragraph" w:styleId="872">
    <w:name w:val="Заголовок таблицы"/>
    <w:basedOn w:val="871"/>
    <w:qFormat/>
    <w:pPr>
      <w:jc w:val="center"/>
      <w:suppressLineNumbers/>
    </w:pPr>
    <w:rPr>
      <w:b/>
      <w:bCs/>
    </w:rPr>
  </w:style>
  <w:style w:type="numbering" w:styleId="873">
    <w:name w:val="Без списка"/>
    <w:qFormat/>
  </w:style>
  <w:style w:type="numbering" w:styleId="874" w:default="1">
    <w:name w:val="No List"/>
    <w:uiPriority w:val="99"/>
    <w:semiHidden/>
    <w:unhideWhenUsed/>
  </w:style>
  <w:style w:type="table" w:styleId="87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209a</dc:creator>
  <dc:description/>
  <dc:language>ru-RU</dc:language>
  <cp:lastModifiedBy>tasun_tv</cp:lastModifiedBy>
  <cp:revision>300</cp:revision>
  <dcterms:created xsi:type="dcterms:W3CDTF">2018-11-30T08:07:00Z</dcterms:created>
  <dcterms:modified xsi:type="dcterms:W3CDTF">2026-07-09T01:22:08Z</dcterms:modified>
</cp:coreProperties>
</file>